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3BA3E" w14:textId="77777777" w:rsidR="00431A46" w:rsidRDefault="00431A46" w:rsidP="00431A46">
      <w:pPr>
        <w:jc w:val="both"/>
        <w:rPr>
          <w:rFonts w:ascii="Arial" w:hAnsi="Arial" w:cs="Arial"/>
          <w:b/>
          <w:sz w:val="20"/>
          <w:szCs w:val="20"/>
        </w:rPr>
      </w:pPr>
      <w:r>
        <w:rPr>
          <w:rFonts w:ascii="Arial" w:hAnsi="Arial" w:cs="Arial"/>
          <w:b/>
          <w:sz w:val="20"/>
          <w:szCs w:val="20"/>
        </w:rPr>
        <w:t xml:space="preserve">Para encaminhamento de documentos: </w:t>
      </w:r>
      <w:hyperlink r:id="rId5" w:history="1">
        <w:r>
          <w:rPr>
            <w:rStyle w:val="Hyperlink"/>
            <w:rFonts w:ascii="Arial" w:hAnsi="Arial" w:cs="Arial"/>
            <w:b/>
            <w:sz w:val="20"/>
            <w:szCs w:val="20"/>
          </w:rPr>
          <w:t>inventario@cartoriooltramari.com.br</w:t>
        </w:r>
      </w:hyperlink>
    </w:p>
    <w:p w14:paraId="25FCB2C5" w14:textId="77777777" w:rsidR="00431A46" w:rsidRDefault="00431A46" w:rsidP="00431A46">
      <w:pPr>
        <w:jc w:val="both"/>
        <w:rPr>
          <w:rFonts w:ascii="Arial" w:hAnsi="Arial" w:cs="Arial"/>
          <w:b/>
          <w:sz w:val="20"/>
          <w:szCs w:val="20"/>
        </w:rPr>
      </w:pPr>
      <w:r>
        <w:rPr>
          <w:rFonts w:ascii="Arial" w:hAnsi="Arial" w:cs="Arial"/>
          <w:b/>
          <w:sz w:val="20"/>
          <w:szCs w:val="20"/>
        </w:rPr>
        <w:t>Para dúvidas: 3368-4993 ou WhatsApp  (47) 99763-3502</w:t>
      </w:r>
    </w:p>
    <w:p w14:paraId="2DE07CB2" w14:textId="77777777" w:rsidR="00B85508" w:rsidRPr="0027637D" w:rsidRDefault="00B85508" w:rsidP="00B85508">
      <w:pPr>
        <w:jc w:val="both"/>
        <w:rPr>
          <w:rFonts w:ascii="Arial" w:hAnsi="Arial" w:cs="Arial"/>
          <w:b/>
          <w:sz w:val="20"/>
          <w:szCs w:val="20"/>
          <w:u w:val="single"/>
        </w:rPr>
      </w:pPr>
      <w:r w:rsidRPr="0027637D">
        <w:rPr>
          <w:rFonts w:ascii="Arial" w:hAnsi="Arial" w:cs="Arial"/>
          <w:b/>
          <w:sz w:val="20"/>
          <w:szCs w:val="20"/>
          <w:u w:val="single"/>
        </w:rPr>
        <w:t>Solicitamos aos senhores advogados a OBSERVAÇÃO DE TODOS OS PROCEDIMENTOS ADOTADOS PELA RESOLUÇÃO Nº 35, DO DIA 27 DE ABRIL DE 2007, DO CNJ, e demais dispositivos legais, se necessário para a lavratura de escritura pública de separação, divórcio e inventário.</w:t>
      </w:r>
    </w:p>
    <w:p w14:paraId="181C7163" w14:textId="77777777" w:rsidR="00B85508" w:rsidRPr="0027637D" w:rsidRDefault="00B85508" w:rsidP="00B85508">
      <w:pPr>
        <w:jc w:val="both"/>
        <w:rPr>
          <w:rFonts w:ascii="Arial" w:hAnsi="Arial" w:cs="Arial"/>
          <w:sz w:val="20"/>
          <w:szCs w:val="20"/>
        </w:rPr>
      </w:pPr>
      <w:r w:rsidRPr="0027637D">
        <w:rPr>
          <w:rFonts w:ascii="Arial" w:hAnsi="Arial" w:cs="Arial"/>
          <w:b/>
          <w:sz w:val="20"/>
          <w:szCs w:val="20"/>
        </w:rPr>
        <w:t xml:space="preserve">OBS.: </w:t>
      </w:r>
      <w:r w:rsidRPr="0027637D">
        <w:rPr>
          <w:rFonts w:ascii="Arial" w:hAnsi="Arial" w:cs="Arial"/>
          <w:sz w:val="20"/>
          <w:szCs w:val="20"/>
        </w:rPr>
        <w:t xml:space="preserve">Para não haver multa junto a Secretaria do Estado da Fazenda (SEF/SC), o processo de inventário e partilha deve ser </w:t>
      </w:r>
      <w:r w:rsidRPr="0027637D">
        <w:rPr>
          <w:rFonts w:ascii="Arial" w:hAnsi="Arial" w:cs="Arial"/>
          <w:b/>
          <w:sz w:val="20"/>
          <w:szCs w:val="20"/>
          <w:u w:val="single"/>
        </w:rPr>
        <w:t>aberto</w:t>
      </w:r>
      <w:r w:rsidRPr="0027637D">
        <w:rPr>
          <w:rFonts w:ascii="Arial" w:hAnsi="Arial" w:cs="Arial"/>
          <w:sz w:val="20"/>
          <w:szCs w:val="20"/>
        </w:rPr>
        <w:t xml:space="preserve"> dentro de 60 (sessenta) dias a contar da abertura da sucessão </w:t>
      </w:r>
    </w:p>
    <w:p w14:paraId="1636A9B3" w14:textId="3801E1C2" w:rsidR="00B85508" w:rsidRPr="0027637D" w:rsidRDefault="00B85508" w:rsidP="00B85508">
      <w:pPr>
        <w:jc w:val="both"/>
        <w:rPr>
          <w:rFonts w:ascii="Arial" w:hAnsi="Arial" w:cs="Arial"/>
          <w:b/>
          <w:bCs/>
          <w:sz w:val="20"/>
          <w:szCs w:val="20"/>
          <w:shd w:val="clear" w:color="auto" w:fill="FFFFFF"/>
        </w:rPr>
      </w:pPr>
      <w:r w:rsidRPr="0027637D">
        <w:rPr>
          <w:rFonts w:ascii="Arial" w:hAnsi="Arial" w:cs="Arial"/>
          <w:b/>
          <w:bCs/>
          <w:sz w:val="20"/>
          <w:szCs w:val="20"/>
          <w:shd w:val="clear" w:color="auto" w:fill="FFFFFF"/>
        </w:rPr>
        <w:t>DOCUMENTOS PARA INVENTÁRIO</w:t>
      </w:r>
      <w:r>
        <w:rPr>
          <w:rFonts w:ascii="Arial" w:hAnsi="Arial" w:cs="Arial"/>
          <w:b/>
          <w:bCs/>
          <w:sz w:val="20"/>
          <w:szCs w:val="20"/>
          <w:shd w:val="clear" w:color="auto" w:fill="FFFFFF"/>
        </w:rPr>
        <w:t xml:space="preserve"> NEGATIVO</w:t>
      </w:r>
    </w:p>
    <w:p w14:paraId="4A18FD7C" w14:textId="0FE4D222" w:rsidR="00B85508" w:rsidRPr="00B85508" w:rsidRDefault="00B85508" w:rsidP="00B85508">
      <w:pPr>
        <w:pStyle w:val="PargrafodaLista"/>
        <w:numPr>
          <w:ilvl w:val="0"/>
          <w:numId w:val="4"/>
        </w:numPr>
        <w:jc w:val="both"/>
        <w:rPr>
          <w:rFonts w:ascii="Arial" w:hAnsi="Arial" w:cs="Arial"/>
          <w:sz w:val="20"/>
          <w:szCs w:val="20"/>
          <w:shd w:val="clear" w:color="auto" w:fill="FFFFFF"/>
        </w:rPr>
      </w:pPr>
      <w:r w:rsidRPr="00B85508">
        <w:rPr>
          <w:rFonts w:ascii="Arial" w:hAnsi="Arial" w:cs="Arial"/>
          <w:sz w:val="20"/>
          <w:szCs w:val="20"/>
          <w:shd w:val="clear" w:color="auto" w:fill="FFFFFF"/>
        </w:rPr>
        <w:t>Requerimento simples com a qualificação completa (e-mail e telefone) do autor da herança, de todos os interessados, inclusive do advogado assistente, bem com demais declarações legais</w:t>
      </w:r>
    </w:p>
    <w:p w14:paraId="3BC1667F" w14:textId="585E15B7" w:rsidR="00B85508" w:rsidRPr="00B85508" w:rsidRDefault="00B85508" w:rsidP="00B85508">
      <w:pPr>
        <w:pStyle w:val="PargrafodaLista"/>
        <w:numPr>
          <w:ilvl w:val="0"/>
          <w:numId w:val="4"/>
        </w:numPr>
        <w:jc w:val="both"/>
        <w:rPr>
          <w:rFonts w:ascii="Arial" w:hAnsi="Arial" w:cs="Arial"/>
          <w:sz w:val="20"/>
          <w:szCs w:val="20"/>
          <w:shd w:val="clear" w:color="auto" w:fill="FFFFFF"/>
        </w:rPr>
      </w:pPr>
      <w:r w:rsidRPr="00B85508">
        <w:rPr>
          <w:rFonts w:ascii="Arial" w:hAnsi="Arial" w:cs="Arial"/>
          <w:sz w:val="20"/>
          <w:szCs w:val="20"/>
          <w:shd w:val="clear" w:color="auto" w:fill="FFFFFF"/>
        </w:rPr>
        <w:t>OAB do Advogado Assistente</w:t>
      </w:r>
    </w:p>
    <w:p w14:paraId="0585F7EC" w14:textId="4FDF0EE8" w:rsidR="00B85508" w:rsidRPr="00990AA8" w:rsidRDefault="00B85508" w:rsidP="00B32F15">
      <w:pPr>
        <w:pStyle w:val="PargrafodaLista"/>
        <w:numPr>
          <w:ilvl w:val="0"/>
          <w:numId w:val="4"/>
        </w:numPr>
        <w:jc w:val="both"/>
        <w:rPr>
          <w:rFonts w:ascii="Arial" w:hAnsi="Arial" w:cs="Arial"/>
          <w:sz w:val="20"/>
          <w:szCs w:val="20"/>
          <w:shd w:val="clear" w:color="auto" w:fill="FFFFFF"/>
        </w:rPr>
      </w:pPr>
      <w:r w:rsidRPr="00990AA8">
        <w:rPr>
          <w:rFonts w:ascii="Arial" w:hAnsi="Arial" w:cs="Arial"/>
          <w:sz w:val="20"/>
          <w:szCs w:val="20"/>
          <w:shd w:val="clear" w:color="auto" w:fill="FFFFFF"/>
        </w:rPr>
        <w:t xml:space="preserve">Certidão de </w:t>
      </w:r>
      <w:r w:rsidR="00A42B41" w:rsidRPr="00990AA8">
        <w:rPr>
          <w:rFonts w:ascii="Arial" w:hAnsi="Arial" w:cs="Arial"/>
          <w:sz w:val="20"/>
          <w:szCs w:val="20"/>
          <w:shd w:val="clear" w:color="auto" w:fill="FFFFFF"/>
        </w:rPr>
        <w:t xml:space="preserve">inteiro teor do </w:t>
      </w:r>
      <w:r w:rsidRPr="00990AA8">
        <w:rPr>
          <w:rFonts w:ascii="Arial" w:hAnsi="Arial" w:cs="Arial"/>
          <w:sz w:val="20"/>
          <w:szCs w:val="20"/>
          <w:shd w:val="clear" w:color="auto" w:fill="FFFFFF"/>
        </w:rPr>
        <w:t>óbito do autor da herança</w:t>
      </w:r>
      <w:r w:rsidR="00990AA8" w:rsidRPr="00990AA8">
        <w:rPr>
          <w:rFonts w:ascii="Arial" w:hAnsi="Arial" w:cs="Arial"/>
          <w:sz w:val="20"/>
          <w:szCs w:val="20"/>
          <w:shd w:val="clear" w:color="auto" w:fill="FFFFFF"/>
        </w:rPr>
        <w:t xml:space="preserve">. Aceitamos física ou digital emitida pelo site </w:t>
      </w:r>
      <w:hyperlink r:id="rId6" w:history="1">
        <w:r w:rsidR="00990AA8" w:rsidRPr="00990AA8">
          <w:rPr>
            <w:rStyle w:val="Hyperlink"/>
            <w:rFonts w:ascii="Arial" w:hAnsi="Arial" w:cs="Arial"/>
            <w:sz w:val="20"/>
            <w:szCs w:val="20"/>
            <w:shd w:val="clear" w:color="auto" w:fill="FFFFFF"/>
          </w:rPr>
          <w:t>https://www.registrocivil.org.br/</w:t>
        </w:r>
      </w:hyperlink>
    </w:p>
    <w:p w14:paraId="7F84CDC8" w14:textId="77777777" w:rsidR="00B85508" w:rsidRPr="00B85508" w:rsidRDefault="00B85508" w:rsidP="00B85508">
      <w:pPr>
        <w:pStyle w:val="PargrafodaLista"/>
        <w:numPr>
          <w:ilvl w:val="0"/>
          <w:numId w:val="4"/>
        </w:numPr>
        <w:jc w:val="both"/>
        <w:rPr>
          <w:rFonts w:ascii="Arial" w:hAnsi="Arial" w:cs="Arial"/>
          <w:sz w:val="20"/>
          <w:szCs w:val="20"/>
          <w:shd w:val="clear" w:color="auto" w:fill="FFFFFF"/>
        </w:rPr>
      </w:pPr>
      <w:r w:rsidRPr="00B85508">
        <w:rPr>
          <w:rFonts w:ascii="Arial" w:hAnsi="Arial" w:cs="Arial"/>
          <w:sz w:val="20"/>
          <w:szCs w:val="20"/>
          <w:shd w:val="clear" w:color="auto" w:fill="FFFFFF"/>
        </w:rPr>
        <w:t>CPF e Documento de identidade do falecido. Não sendo possível a apresentação do original do documento de identidade do falecido, será aceitável certidão da Secretaria de Segurança Pública da Unidade Federativa que o houver emitido.</w:t>
      </w:r>
    </w:p>
    <w:p w14:paraId="308C3724" w14:textId="77777777" w:rsidR="00990AA8" w:rsidRPr="00990AA8" w:rsidRDefault="00B85508" w:rsidP="00990AA8">
      <w:pPr>
        <w:pStyle w:val="PargrafodaLista"/>
        <w:numPr>
          <w:ilvl w:val="0"/>
          <w:numId w:val="4"/>
        </w:numPr>
        <w:jc w:val="both"/>
        <w:rPr>
          <w:rFonts w:ascii="Arial" w:hAnsi="Arial" w:cs="Arial"/>
          <w:sz w:val="20"/>
          <w:szCs w:val="20"/>
          <w:shd w:val="clear" w:color="auto" w:fill="FFFFFF"/>
        </w:rPr>
      </w:pPr>
      <w:r w:rsidRPr="00B85508">
        <w:rPr>
          <w:rFonts w:ascii="Arial" w:hAnsi="Arial" w:cs="Arial"/>
          <w:sz w:val="20"/>
          <w:szCs w:val="20"/>
          <w:shd w:val="clear" w:color="auto" w:fill="FFFFFF"/>
        </w:rPr>
        <w:t xml:space="preserve">Certidão de casamento ou nascimento (dependendo do seu estado civil) do autor da herança, validade 90 dias e </w:t>
      </w:r>
      <w:r w:rsidRPr="00B85508">
        <w:rPr>
          <w:rFonts w:ascii="Arial" w:hAnsi="Arial" w:cs="Arial"/>
          <w:b/>
          <w:bCs/>
          <w:sz w:val="20"/>
          <w:szCs w:val="20"/>
          <w:u w:val="single"/>
          <w:shd w:val="clear" w:color="auto" w:fill="FFFFFF"/>
        </w:rPr>
        <w:t>com averbação de óbito</w:t>
      </w:r>
      <w:r w:rsidR="00990AA8">
        <w:rPr>
          <w:rFonts w:ascii="Arial" w:hAnsi="Arial" w:cs="Arial"/>
          <w:b/>
          <w:bCs/>
          <w:sz w:val="20"/>
          <w:szCs w:val="20"/>
          <w:u w:val="single"/>
          <w:shd w:val="clear" w:color="auto" w:fill="FFFFFF"/>
        </w:rPr>
        <w:t>.</w:t>
      </w:r>
      <w:r w:rsidR="00990AA8" w:rsidRPr="00990AA8">
        <w:rPr>
          <w:rFonts w:ascii="Arial" w:hAnsi="Arial" w:cs="Arial"/>
          <w:b/>
          <w:bCs/>
          <w:sz w:val="20"/>
          <w:szCs w:val="20"/>
          <w:shd w:val="clear" w:color="auto" w:fill="FFFFFF"/>
        </w:rPr>
        <w:t xml:space="preserve"> </w:t>
      </w:r>
      <w:r w:rsidR="00990AA8" w:rsidRPr="00990AA8">
        <w:rPr>
          <w:rFonts w:ascii="Arial" w:hAnsi="Arial" w:cs="Arial"/>
          <w:sz w:val="20"/>
          <w:szCs w:val="20"/>
          <w:shd w:val="clear" w:color="auto" w:fill="FFFFFF"/>
        </w:rPr>
        <w:t xml:space="preserve">Aceitamos física ou digital emitida pelo site </w:t>
      </w:r>
      <w:hyperlink r:id="rId7" w:history="1">
        <w:r w:rsidR="00990AA8" w:rsidRPr="00990AA8">
          <w:rPr>
            <w:rStyle w:val="Hyperlink"/>
            <w:rFonts w:ascii="Arial" w:hAnsi="Arial" w:cs="Arial"/>
            <w:sz w:val="20"/>
            <w:szCs w:val="20"/>
            <w:shd w:val="clear" w:color="auto" w:fill="FFFFFF"/>
          </w:rPr>
          <w:t>https://www.registrocivil.org.br/</w:t>
        </w:r>
      </w:hyperlink>
    </w:p>
    <w:p w14:paraId="75ED710C" w14:textId="1F7BC71F" w:rsidR="00B85508" w:rsidRPr="00B85508" w:rsidRDefault="00B85508" w:rsidP="00B85508">
      <w:pPr>
        <w:pStyle w:val="PargrafodaLista"/>
        <w:numPr>
          <w:ilvl w:val="0"/>
          <w:numId w:val="4"/>
        </w:numPr>
        <w:jc w:val="both"/>
        <w:rPr>
          <w:rFonts w:ascii="Arial" w:hAnsi="Arial" w:cs="Arial"/>
          <w:sz w:val="20"/>
          <w:szCs w:val="20"/>
          <w:shd w:val="clear" w:color="auto" w:fill="FFFFFF"/>
        </w:rPr>
      </w:pPr>
      <w:r w:rsidRPr="00B85508">
        <w:rPr>
          <w:rFonts w:ascii="Arial" w:hAnsi="Arial" w:cs="Arial"/>
          <w:sz w:val="20"/>
          <w:szCs w:val="20"/>
          <w:shd w:val="clear" w:color="auto" w:fill="FFFFFF"/>
        </w:rPr>
        <w:t xml:space="preserve">Cópia simples do documento de identidade oficial e CPF das partes interessadas. </w:t>
      </w:r>
      <w:r w:rsidRPr="00B85508">
        <w:rPr>
          <w:rFonts w:ascii="Arial" w:hAnsi="Arial" w:cs="Arial"/>
          <w:sz w:val="16"/>
          <w:szCs w:val="16"/>
          <w:shd w:val="clear" w:color="auto" w:fill="FFFFFF"/>
        </w:rPr>
        <w:t>O tabelião poderá recusar documento de identificação replastificado ou quando pelo estado de conservação ou distância temporal de sua expedição impossibilitar a identificação de seu portador ou trouxer dúvida acerca do seu conteúdo ou da sua autenticidade</w:t>
      </w:r>
      <w:r w:rsidRPr="00B85508">
        <w:rPr>
          <w:rFonts w:ascii="Arial" w:hAnsi="Arial" w:cs="Arial"/>
          <w:sz w:val="20"/>
          <w:szCs w:val="20"/>
          <w:shd w:val="clear" w:color="auto" w:fill="FFFFFF"/>
        </w:rPr>
        <w:t>.</w:t>
      </w:r>
    </w:p>
    <w:p w14:paraId="7A0A7C67" w14:textId="77777777" w:rsidR="00304785" w:rsidRPr="00304785" w:rsidRDefault="00B85508" w:rsidP="00304785">
      <w:pPr>
        <w:pStyle w:val="PargrafodaLista"/>
        <w:numPr>
          <w:ilvl w:val="0"/>
          <w:numId w:val="4"/>
        </w:numPr>
        <w:jc w:val="both"/>
        <w:rPr>
          <w:rFonts w:ascii="Arial" w:hAnsi="Arial" w:cs="Arial"/>
          <w:sz w:val="20"/>
          <w:szCs w:val="20"/>
          <w:shd w:val="clear" w:color="auto" w:fill="FFFFFF"/>
        </w:rPr>
      </w:pPr>
      <w:r w:rsidRPr="00B85508">
        <w:rPr>
          <w:rFonts w:ascii="Arial" w:hAnsi="Arial" w:cs="Arial"/>
          <w:sz w:val="20"/>
          <w:szCs w:val="20"/>
          <w:shd w:val="clear" w:color="auto" w:fill="FFFFFF"/>
        </w:rPr>
        <w:t>Certidão atualizada de casamento do cônjuge sobrevivente, caso tenha contraído novas núpcias, validade 90 dias</w:t>
      </w:r>
      <w:r w:rsidR="00304785">
        <w:rPr>
          <w:rFonts w:ascii="Arial" w:hAnsi="Arial" w:cs="Arial"/>
          <w:sz w:val="20"/>
          <w:szCs w:val="20"/>
          <w:shd w:val="clear" w:color="auto" w:fill="FFFFFF"/>
        </w:rPr>
        <w:t xml:space="preserve">. </w:t>
      </w:r>
      <w:r w:rsidR="00304785" w:rsidRPr="00304785">
        <w:rPr>
          <w:rFonts w:ascii="Arial" w:hAnsi="Arial" w:cs="Arial"/>
          <w:sz w:val="20"/>
          <w:szCs w:val="20"/>
          <w:shd w:val="clear" w:color="auto" w:fill="FFFFFF"/>
        </w:rPr>
        <w:t xml:space="preserve">Aceitamos física ou digital emitida pelo site </w:t>
      </w:r>
      <w:hyperlink r:id="rId8" w:history="1">
        <w:r w:rsidR="00304785" w:rsidRPr="00304785">
          <w:rPr>
            <w:rStyle w:val="Hyperlink"/>
            <w:rFonts w:ascii="Arial" w:hAnsi="Arial" w:cs="Arial"/>
            <w:sz w:val="20"/>
            <w:szCs w:val="20"/>
            <w:shd w:val="clear" w:color="auto" w:fill="FFFFFF"/>
          </w:rPr>
          <w:t>https://www.registrocivil.org.br/</w:t>
        </w:r>
      </w:hyperlink>
    </w:p>
    <w:p w14:paraId="61F1BB72" w14:textId="77777777" w:rsidR="00304785" w:rsidRPr="00304785" w:rsidRDefault="00B85508" w:rsidP="00304785">
      <w:pPr>
        <w:pStyle w:val="PargrafodaLista"/>
        <w:numPr>
          <w:ilvl w:val="0"/>
          <w:numId w:val="4"/>
        </w:numPr>
        <w:jc w:val="both"/>
        <w:rPr>
          <w:rFonts w:ascii="Arial" w:hAnsi="Arial" w:cs="Arial"/>
          <w:sz w:val="20"/>
          <w:szCs w:val="20"/>
          <w:shd w:val="clear" w:color="auto" w:fill="FFFFFF"/>
        </w:rPr>
      </w:pPr>
      <w:r w:rsidRPr="00B85508">
        <w:rPr>
          <w:rFonts w:ascii="Arial" w:hAnsi="Arial" w:cs="Arial"/>
          <w:sz w:val="20"/>
          <w:szCs w:val="20"/>
          <w:shd w:val="clear" w:color="auto" w:fill="FFFFFF"/>
        </w:rPr>
        <w:t>Certidão atualizada dos herdeiros (casamento: se casados, divorciados, separados ou viúvo; e, nascimento: para solteiros) validade 90 dias, que comprove o vínculo de parentesco com o autor da herança</w:t>
      </w:r>
      <w:r w:rsidR="00304785">
        <w:rPr>
          <w:rFonts w:ascii="Arial" w:hAnsi="Arial" w:cs="Arial"/>
          <w:sz w:val="20"/>
          <w:szCs w:val="20"/>
          <w:shd w:val="clear" w:color="auto" w:fill="FFFFFF"/>
        </w:rPr>
        <w:t xml:space="preserve">. </w:t>
      </w:r>
      <w:r w:rsidR="00304785" w:rsidRPr="00304785">
        <w:rPr>
          <w:rFonts w:ascii="Arial" w:hAnsi="Arial" w:cs="Arial"/>
          <w:sz w:val="20"/>
          <w:szCs w:val="20"/>
          <w:shd w:val="clear" w:color="auto" w:fill="FFFFFF"/>
        </w:rPr>
        <w:t xml:space="preserve">Aceitamos física ou digital emitida pelo site </w:t>
      </w:r>
      <w:hyperlink r:id="rId9" w:history="1">
        <w:r w:rsidR="00304785" w:rsidRPr="00304785">
          <w:rPr>
            <w:rStyle w:val="Hyperlink"/>
            <w:rFonts w:ascii="Arial" w:hAnsi="Arial" w:cs="Arial"/>
            <w:sz w:val="20"/>
            <w:szCs w:val="20"/>
            <w:shd w:val="clear" w:color="auto" w:fill="FFFFFF"/>
          </w:rPr>
          <w:t>https://www.registrocivil.org.br/</w:t>
        </w:r>
      </w:hyperlink>
    </w:p>
    <w:p w14:paraId="67AE37F9" w14:textId="77777777" w:rsidR="00B85508" w:rsidRPr="00B85508" w:rsidRDefault="00B85508" w:rsidP="00B85508">
      <w:pPr>
        <w:pStyle w:val="PargrafodaLista"/>
        <w:numPr>
          <w:ilvl w:val="0"/>
          <w:numId w:val="4"/>
        </w:numPr>
        <w:jc w:val="both"/>
        <w:rPr>
          <w:rFonts w:ascii="Arial" w:hAnsi="Arial" w:cs="Arial"/>
          <w:sz w:val="20"/>
          <w:szCs w:val="20"/>
          <w:shd w:val="clear" w:color="auto" w:fill="FFFFFF"/>
        </w:rPr>
      </w:pPr>
      <w:r w:rsidRPr="00B85508">
        <w:rPr>
          <w:rFonts w:ascii="Arial" w:hAnsi="Arial" w:cs="Arial"/>
          <w:sz w:val="20"/>
          <w:szCs w:val="20"/>
          <w:shd w:val="clear" w:color="auto" w:fill="FFFFFF"/>
        </w:rPr>
        <w:t>Escritura de pacto antenupcial (da parte que for casada pelos regimes: comunhão universal de bens e separação total de bens após dezembro 1977)</w:t>
      </w:r>
    </w:p>
    <w:p w14:paraId="21A647EA" w14:textId="77777777" w:rsidR="00B85508" w:rsidRPr="00B85508" w:rsidRDefault="00B85508" w:rsidP="00B85508">
      <w:pPr>
        <w:pStyle w:val="PargrafodaLista"/>
        <w:numPr>
          <w:ilvl w:val="0"/>
          <w:numId w:val="4"/>
        </w:numPr>
        <w:jc w:val="both"/>
        <w:rPr>
          <w:rFonts w:ascii="Arial" w:hAnsi="Arial" w:cs="Arial"/>
          <w:sz w:val="20"/>
          <w:szCs w:val="20"/>
          <w:shd w:val="clear" w:color="auto" w:fill="FFFFFF"/>
        </w:rPr>
      </w:pPr>
      <w:r w:rsidRPr="00B85508">
        <w:rPr>
          <w:rFonts w:ascii="Arial" w:hAnsi="Arial" w:cs="Arial"/>
          <w:sz w:val="20"/>
          <w:szCs w:val="20"/>
          <w:shd w:val="clear" w:color="auto" w:fill="FFFFFF"/>
        </w:rPr>
        <w:t>Registro de Pacto antenupcial, se houver (da parte que for casada pelos regimes: comunhão universal de bens e separação total de bens após dezembro 1977)</w:t>
      </w:r>
    </w:p>
    <w:p w14:paraId="0321AA89" w14:textId="77777777" w:rsidR="00B85508" w:rsidRPr="00B85508" w:rsidRDefault="00B85508" w:rsidP="00B85508">
      <w:pPr>
        <w:pStyle w:val="PargrafodaLista"/>
        <w:numPr>
          <w:ilvl w:val="0"/>
          <w:numId w:val="4"/>
        </w:numPr>
        <w:jc w:val="both"/>
        <w:rPr>
          <w:rFonts w:ascii="Arial" w:hAnsi="Arial" w:cs="Arial"/>
          <w:sz w:val="20"/>
          <w:szCs w:val="20"/>
          <w:shd w:val="clear" w:color="auto" w:fill="FFFFFF"/>
        </w:rPr>
      </w:pPr>
      <w:r w:rsidRPr="00B85508">
        <w:rPr>
          <w:rFonts w:ascii="Arial" w:hAnsi="Arial" w:cs="Arial"/>
          <w:sz w:val="20"/>
          <w:szCs w:val="20"/>
          <w:shd w:val="clear" w:color="auto" w:fill="FFFFFF"/>
        </w:rPr>
        <w:t>Caso haja união estável por documento público ou particular, favor apresentar tal documento, se houver</w:t>
      </w:r>
    </w:p>
    <w:p w14:paraId="125DEE12" w14:textId="77777777" w:rsidR="00B85508" w:rsidRPr="00B85508" w:rsidRDefault="00B85508" w:rsidP="00B85508">
      <w:pPr>
        <w:pStyle w:val="PargrafodaLista"/>
        <w:numPr>
          <w:ilvl w:val="0"/>
          <w:numId w:val="4"/>
        </w:numPr>
        <w:jc w:val="both"/>
        <w:rPr>
          <w:rFonts w:ascii="Arial" w:hAnsi="Arial" w:cs="Arial"/>
          <w:sz w:val="20"/>
          <w:szCs w:val="20"/>
          <w:shd w:val="clear" w:color="auto" w:fill="FFFFFF"/>
        </w:rPr>
      </w:pPr>
      <w:r w:rsidRPr="00B85508">
        <w:rPr>
          <w:rFonts w:ascii="Arial" w:hAnsi="Arial" w:cs="Arial"/>
          <w:sz w:val="20"/>
          <w:szCs w:val="20"/>
          <w:shd w:val="clear" w:color="auto" w:fill="FFFFFF"/>
        </w:rPr>
        <w:t>Certidão de inexistência de testamento junto ao CENSEC (</w:t>
      </w:r>
      <w:hyperlink r:id="rId10" w:history="1">
        <w:r w:rsidRPr="00B85508">
          <w:rPr>
            <w:rStyle w:val="Hyperlink"/>
            <w:rFonts w:ascii="Arial" w:hAnsi="Arial" w:cs="Arial"/>
            <w:sz w:val="20"/>
            <w:szCs w:val="20"/>
            <w:shd w:val="clear" w:color="auto" w:fill="FFFFFF"/>
          </w:rPr>
          <w:t>http://www.censec.org.br</w:t>
        </w:r>
      </w:hyperlink>
      <w:r w:rsidRPr="00B85508">
        <w:rPr>
          <w:rFonts w:ascii="Arial" w:hAnsi="Arial" w:cs="Arial"/>
          <w:sz w:val="20"/>
          <w:szCs w:val="20"/>
          <w:shd w:val="clear" w:color="auto" w:fill="FFFFFF"/>
        </w:rPr>
        <w:t>) – versão 03 páginas, última com código de verificação</w:t>
      </w:r>
    </w:p>
    <w:p w14:paraId="4AA0FEDD" w14:textId="77777777" w:rsidR="00D62C32" w:rsidRDefault="00B85508" w:rsidP="0015592C">
      <w:pPr>
        <w:pStyle w:val="PargrafodaLista"/>
        <w:numPr>
          <w:ilvl w:val="0"/>
          <w:numId w:val="4"/>
        </w:numPr>
        <w:rPr>
          <w:rFonts w:ascii="Arial" w:hAnsi="Arial" w:cs="Arial"/>
          <w:sz w:val="20"/>
          <w:szCs w:val="20"/>
          <w:shd w:val="clear" w:color="auto" w:fill="FFFFFF"/>
        </w:rPr>
      </w:pPr>
      <w:r w:rsidRPr="00D62C32">
        <w:rPr>
          <w:rFonts w:ascii="Arial" w:hAnsi="Arial" w:cs="Arial"/>
          <w:sz w:val="20"/>
          <w:szCs w:val="20"/>
          <w:shd w:val="clear" w:color="auto" w:fill="FFFFFF"/>
        </w:rPr>
        <w:t>Certidão de inexistência de bens</w:t>
      </w:r>
      <w:r w:rsidR="00D62C32" w:rsidRPr="00D62C32">
        <w:rPr>
          <w:rFonts w:ascii="Arial" w:hAnsi="Arial" w:cs="Arial"/>
          <w:sz w:val="20"/>
          <w:szCs w:val="20"/>
          <w:shd w:val="clear" w:color="auto" w:fill="FFFFFF"/>
        </w:rPr>
        <w:t xml:space="preserve"> imóveis emitida pelo Registro de Imóveis da última residência do falecido</w:t>
      </w:r>
      <w:r w:rsidR="00D62C32">
        <w:rPr>
          <w:rFonts w:ascii="Arial" w:hAnsi="Arial" w:cs="Arial"/>
          <w:sz w:val="20"/>
          <w:szCs w:val="20"/>
          <w:shd w:val="clear" w:color="auto" w:fill="FFFFFF"/>
        </w:rPr>
        <w:t>;</w:t>
      </w:r>
      <w:r w:rsidRPr="00D62C32">
        <w:rPr>
          <w:rFonts w:ascii="Arial" w:hAnsi="Arial" w:cs="Arial"/>
          <w:sz w:val="20"/>
          <w:szCs w:val="20"/>
          <w:shd w:val="clear" w:color="auto" w:fill="FFFFFF"/>
        </w:rPr>
        <w:t xml:space="preserve"> </w:t>
      </w:r>
    </w:p>
    <w:p w14:paraId="08071D6C" w14:textId="037F51D6" w:rsidR="00B85508" w:rsidRDefault="00D62C32" w:rsidP="0015592C">
      <w:pPr>
        <w:pStyle w:val="PargrafodaLista"/>
        <w:numPr>
          <w:ilvl w:val="0"/>
          <w:numId w:val="4"/>
        </w:numPr>
        <w:rPr>
          <w:rFonts w:ascii="Arial" w:hAnsi="Arial" w:cs="Arial"/>
          <w:sz w:val="20"/>
          <w:szCs w:val="20"/>
          <w:shd w:val="clear" w:color="auto" w:fill="FFFFFF"/>
        </w:rPr>
      </w:pPr>
      <w:r w:rsidRPr="00D62C32">
        <w:rPr>
          <w:rFonts w:ascii="Arial" w:hAnsi="Arial" w:cs="Arial"/>
          <w:sz w:val="20"/>
          <w:szCs w:val="20"/>
          <w:shd w:val="clear" w:color="auto" w:fill="FFFFFF"/>
        </w:rPr>
        <w:t xml:space="preserve">Certidão de inexistência de </w:t>
      </w:r>
      <w:r>
        <w:rPr>
          <w:rFonts w:ascii="Arial" w:hAnsi="Arial" w:cs="Arial"/>
          <w:sz w:val="20"/>
          <w:szCs w:val="20"/>
          <w:shd w:val="clear" w:color="auto" w:fill="FFFFFF"/>
        </w:rPr>
        <w:t xml:space="preserve">propriedade de </w:t>
      </w:r>
      <w:r w:rsidRPr="00D62C32">
        <w:rPr>
          <w:rFonts w:ascii="Arial" w:hAnsi="Arial" w:cs="Arial"/>
          <w:sz w:val="20"/>
          <w:szCs w:val="20"/>
          <w:shd w:val="clear" w:color="auto" w:fill="FFFFFF"/>
        </w:rPr>
        <w:t xml:space="preserve">bens </w:t>
      </w:r>
      <w:r w:rsidR="00B85508" w:rsidRPr="00D62C32">
        <w:rPr>
          <w:rFonts w:ascii="Arial" w:hAnsi="Arial" w:cs="Arial"/>
          <w:sz w:val="20"/>
          <w:szCs w:val="20"/>
          <w:shd w:val="clear" w:color="auto" w:fill="FFFFFF"/>
        </w:rPr>
        <w:t>móveis</w:t>
      </w:r>
      <w:r>
        <w:rPr>
          <w:rFonts w:ascii="Arial" w:hAnsi="Arial" w:cs="Arial"/>
          <w:sz w:val="20"/>
          <w:szCs w:val="20"/>
          <w:shd w:val="clear" w:color="auto" w:fill="FFFFFF"/>
        </w:rPr>
        <w:t xml:space="preserve">, junto ao site do </w:t>
      </w:r>
      <w:r w:rsidR="00B85508" w:rsidRPr="00D62C32">
        <w:rPr>
          <w:rFonts w:ascii="Arial" w:hAnsi="Arial" w:cs="Arial"/>
          <w:sz w:val="20"/>
          <w:szCs w:val="20"/>
          <w:shd w:val="clear" w:color="auto" w:fill="FFFFFF"/>
        </w:rPr>
        <w:t xml:space="preserve">DETRAN </w:t>
      </w:r>
      <w:hyperlink r:id="rId11" w:history="1">
        <w:r w:rsidRPr="00754B64">
          <w:rPr>
            <w:rStyle w:val="Hyperlink"/>
            <w:rFonts w:ascii="Arial" w:hAnsi="Arial" w:cs="Arial"/>
            <w:sz w:val="20"/>
            <w:szCs w:val="20"/>
            <w:shd w:val="clear" w:color="auto" w:fill="FFFFFF"/>
          </w:rPr>
          <w:t>https://www.detran.sc.gov.br/consulta-veiculos/</w:t>
        </w:r>
      </w:hyperlink>
      <w:r>
        <w:rPr>
          <w:rFonts w:ascii="Arial" w:hAnsi="Arial" w:cs="Arial"/>
          <w:sz w:val="20"/>
          <w:szCs w:val="20"/>
          <w:shd w:val="clear" w:color="auto" w:fill="FFFFFF"/>
        </w:rPr>
        <w:t xml:space="preserve"> (buscas de veículos em nome </w:t>
      </w:r>
      <w:r w:rsidR="00B85508" w:rsidRPr="00D62C32">
        <w:rPr>
          <w:rFonts w:ascii="Arial" w:hAnsi="Arial" w:cs="Arial"/>
          <w:sz w:val="20"/>
          <w:szCs w:val="20"/>
          <w:shd w:val="clear" w:color="auto" w:fill="FFFFFF"/>
        </w:rPr>
        <w:t xml:space="preserve">do falecido) </w:t>
      </w:r>
    </w:p>
    <w:p w14:paraId="7C8C0841" w14:textId="77777777" w:rsidR="00B8426D" w:rsidRPr="00B8426D" w:rsidRDefault="00B8426D" w:rsidP="00B8426D">
      <w:pPr>
        <w:pStyle w:val="PargrafodaLista"/>
        <w:numPr>
          <w:ilvl w:val="0"/>
          <w:numId w:val="4"/>
        </w:numPr>
        <w:rPr>
          <w:rFonts w:ascii="Arial" w:hAnsi="Arial" w:cs="Arial"/>
          <w:sz w:val="20"/>
          <w:szCs w:val="20"/>
          <w:shd w:val="clear" w:color="auto" w:fill="FFFFFF"/>
        </w:rPr>
      </w:pPr>
      <w:r w:rsidRPr="00B8426D">
        <w:rPr>
          <w:rFonts w:ascii="Arial" w:hAnsi="Arial" w:cs="Arial"/>
          <w:sz w:val="20"/>
          <w:szCs w:val="20"/>
          <w:shd w:val="clear" w:color="auto" w:fill="FFFFFF"/>
        </w:rPr>
        <w:t>As certidões estrangeiras deverão ser atualizadas (validade 120 dias), apostiladas ou legalizadas, traduzidas e registradas no Ofício competente. Deve traduzir somente as certidões de nascimento/casamento/óbito e o apostilamento conforme o caso.</w:t>
      </w:r>
    </w:p>
    <w:p w14:paraId="1B16436C" w14:textId="77777777" w:rsidR="00B85508" w:rsidRPr="00B85508" w:rsidRDefault="00B85508" w:rsidP="00B85508">
      <w:pPr>
        <w:pStyle w:val="PargrafodaLista"/>
        <w:numPr>
          <w:ilvl w:val="0"/>
          <w:numId w:val="4"/>
        </w:numPr>
        <w:jc w:val="both"/>
        <w:rPr>
          <w:rFonts w:ascii="Arial" w:hAnsi="Arial" w:cs="Arial"/>
          <w:sz w:val="20"/>
          <w:szCs w:val="20"/>
          <w:shd w:val="clear" w:color="auto" w:fill="FFFFFF"/>
        </w:rPr>
      </w:pPr>
      <w:r w:rsidRPr="00B85508">
        <w:rPr>
          <w:rFonts w:ascii="Arial" w:hAnsi="Arial" w:cs="Arial"/>
          <w:sz w:val="20"/>
          <w:szCs w:val="20"/>
          <w:shd w:val="clear" w:color="auto" w:fill="FFFFFF"/>
        </w:rPr>
        <w:lastRenderedPageBreak/>
        <w:t>Para a parte que assinar de forma digital: verificação da residência por título de eleitor, ou outro domicílio comprovado ou ainda possuir bens a partilhar neste Estado</w:t>
      </w:r>
    </w:p>
    <w:p w14:paraId="40253F41" w14:textId="77777777" w:rsidR="00B85508" w:rsidRPr="001A61A5" w:rsidRDefault="00B85508" w:rsidP="00B85508">
      <w:pPr>
        <w:pStyle w:val="PargrafodaLista"/>
        <w:jc w:val="both"/>
        <w:rPr>
          <w:rFonts w:ascii="Arial" w:hAnsi="Arial" w:cs="Arial"/>
          <w:sz w:val="18"/>
          <w:szCs w:val="18"/>
          <w:shd w:val="clear" w:color="auto" w:fill="FFFFFF"/>
        </w:rPr>
      </w:pPr>
    </w:p>
    <w:p w14:paraId="6FF88337" w14:textId="3BF3F2B2" w:rsidR="00B85508" w:rsidRPr="001A61A5" w:rsidRDefault="00814DC8" w:rsidP="00B85508">
      <w:pPr>
        <w:jc w:val="both"/>
        <w:rPr>
          <w:rFonts w:ascii="Arial" w:hAnsi="Arial" w:cs="Arial"/>
          <w:b/>
          <w:sz w:val="18"/>
          <w:szCs w:val="18"/>
          <w:u w:val="single"/>
          <w:shd w:val="clear" w:color="auto" w:fill="FFFFFF"/>
        </w:rPr>
      </w:pPr>
      <w:r w:rsidRPr="00814DC8">
        <w:rPr>
          <w:rFonts w:ascii="Arial" w:hAnsi="Arial" w:cs="Arial"/>
          <w:b/>
          <w:sz w:val="18"/>
          <w:szCs w:val="18"/>
          <w:u w:val="single"/>
          <w:shd w:val="clear" w:color="auto" w:fill="FFFFFF"/>
        </w:rPr>
        <w:t>Os documentos podem ser enviados por e-mail ou apresentados pessoalmente para lavratura da escritura, devendo ser originais ou em cópias autenticadas, salvo os de identidade das partes, que sempre serão originais no momento da assinatura da escritura</w:t>
      </w:r>
      <w:r w:rsidR="00B85508" w:rsidRPr="001A61A5">
        <w:rPr>
          <w:rFonts w:ascii="Arial" w:hAnsi="Arial" w:cs="Arial"/>
          <w:b/>
          <w:sz w:val="18"/>
          <w:szCs w:val="18"/>
          <w:u w:val="single"/>
          <w:shd w:val="clear" w:color="auto" w:fill="FFFFFF"/>
        </w:rPr>
        <w:t>. Se enviar por e-mail, preferencialmente providenciar documentos emitidos e assinados eletronicamente.</w:t>
      </w:r>
      <w:r w:rsidR="00B85508">
        <w:rPr>
          <w:rFonts w:ascii="Arial" w:hAnsi="Arial" w:cs="Arial"/>
          <w:b/>
          <w:sz w:val="18"/>
          <w:szCs w:val="18"/>
          <w:u w:val="single"/>
          <w:shd w:val="clear" w:color="auto" w:fill="FFFFFF"/>
        </w:rPr>
        <w:t xml:space="preserve"> </w:t>
      </w:r>
      <w:r w:rsidR="00B85508" w:rsidRPr="008D7817">
        <w:rPr>
          <w:rFonts w:ascii="Arial" w:hAnsi="Arial" w:cs="Arial"/>
          <w:b/>
          <w:sz w:val="18"/>
          <w:szCs w:val="18"/>
          <w:u w:val="single"/>
          <w:shd w:val="clear" w:color="auto" w:fill="FFFFFF"/>
        </w:rPr>
        <w:t>Informamos que documentos apresentados neste Tabelionato não cessam a validade, apenas com a impressão da escritura, caso algum vença ou não tenhamos tempo hábil para finalizar a escritura, será necessário atualizar os mesmos</w:t>
      </w:r>
      <w:r w:rsidR="00B85508">
        <w:rPr>
          <w:rFonts w:ascii="Arial" w:hAnsi="Arial" w:cs="Arial"/>
          <w:b/>
          <w:sz w:val="18"/>
          <w:szCs w:val="18"/>
          <w:u w:val="single"/>
          <w:shd w:val="clear" w:color="auto" w:fill="FFFFFF"/>
        </w:rPr>
        <w:t>.</w:t>
      </w:r>
    </w:p>
    <w:p w14:paraId="2BCED6AF" w14:textId="77777777" w:rsidR="00B85508" w:rsidRPr="00256403" w:rsidRDefault="00B85508" w:rsidP="00B85508">
      <w:pPr>
        <w:jc w:val="both"/>
        <w:rPr>
          <w:rFonts w:ascii="Arial" w:hAnsi="Arial" w:cs="Arial"/>
          <w:b/>
          <w:color w:val="FF0000"/>
          <w:sz w:val="18"/>
          <w:szCs w:val="18"/>
          <w:u w:val="single"/>
        </w:rPr>
      </w:pPr>
      <w:r w:rsidRPr="00256403">
        <w:rPr>
          <w:rFonts w:ascii="Arial" w:hAnsi="Arial" w:cs="Arial"/>
          <w:b/>
          <w:color w:val="FF0000"/>
          <w:sz w:val="18"/>
          <w:szCs w:val="18"/>
          <w:u w:val="single"/>
        </w:rPr>
        <w:t xml:space="preserve">O Tabelião poderá exigir, ad cautelam, outros documentos que julgar necessários para a segurança jurídica do ato a ser formalizado, além dos acima relacionados.  </w:t>
      </w:r>
    </w:p>
    <w:p w14:paraId="390EBB3C" w14:textId="77777777" w:rsidR="00B85508" w:rsidRPr="001A61A5" w:rsidRDefault="00B85508" w:rsidP="00B85508">
      <w:pPr>
        <w:jc w:val="both"/>
        <w:rPr>
          <w:rFonts w:ascii="Arial" w:hAnsi="Arial" w:cs="Arial"/>
          <w:b/>
          <w:sz w:val="18"/>
          <w:szCs w:val="18"/>
          <w:u w:val="single"/>
        </w:rPr>
      </w:pPr>
      <w:r w:rsidRPr="001A61A5">
        <w:rPr>
          <w:rFonts w:ascii="Arial" w:hAnsi="Arial" w:cs="Arial"/>
          <w:b/>
          <w:sz w:val="18"/>
          <w:szCs w:val="18"/>
          <w:u w:val="single"/>
        </w:rPr>
        <w:t>Observar também a importância dos seguintes artigos do Código de Normas de Santa Catarina:</w:t>
      </w:r>
    </w:p>
    <w:p w14:paraId="0531C777" w14:textId="77777777" w:rsidR="00B85508" w:rsidRPr="001A61A5" w:rsidRDefault="00B85508" w:rsidP="00B85508">
      <w:pPr>
        <w:pStyle w:val="Default"/>
        <w:jc w:val="both"/>
        <w:rPr>
          <w:rFonts w:ascii="Arial" w:hAnsi="Arial" w:cs="Arial"/>
          <w:sz w:val="18"/>
          <w:szCs w:val="18"/>
        </w:rPr>
      </w:pPr>
      <w:r w:rsidRPr="001A61A5">
        <w:rPr>
          <w:rFonts w:ascii="Arial" w:hAnsi="Arial" w:cs="Arial"/>
          <w:sz w:val="18"/>
          <w:szCs w:val="18"/>
        </w:rPr>
        <w:t xml:space="preserve">Art. 1.235. </w:t>
      </w:r>
      <w:r w:rsidRPr="001A61A5">
        <w:rPr>
          <w:rFonts w:ascii="Arial" w:hAnsi="Arial" w:cs="Arial"/>
          <w:b/>
          <w:bCs/>
          <w:sz w:val="18"/>
          <w:szCs w:val="18"/>
        </w:rPr>
        <w:t>Havendo direito de representação</w:t>
      </w:r>
      <w:r w:rsidRPr="001A61A5">
        <w:rPr>
          <w:rFonts w:ascii="Arial" w:hAnsi="Arial" w:cs="Arial"/>
          <w:sz w:val="18"/>
          <w:szCs w:val="18"/>
        </w:rPr>
        <w:t xml:space="preserve">, será exigida certidão de óbito do representado e mencionados na escritura seu nome, data e dados do registro de seu óbito, dispensada a menção a seus dados de qualificação em vida. </w:t>
      </w:r>
    </w:p>
    <w:p w14:paraId="61BDCB76" w14:textId="77777777" w:rsidR="00B85508" w:rsidRPr="001A61A5" w:rsidRDefault="00B85508" w:rsidP="00B85508">
      <w:pPr>
        <w:pStyle w:val="Default"/>
        <w:jc w:val="both"/>
        <w:rPr>
          <w:rFonts w:ascii="Arial" w:hAnsi="Arial" w:cs="Arial"/>
          <w:sz w:val="18"/>
          <w:szCs w:val="18"/>
        </w:rPr>
      </w:pPr>
      <w:r w:rsidRPr="001A61A5">
        <w:rPr>
          <w:rFonts w:ascii="Arial" w:hAnsi="Arial" w:cs="Arial"/>
          <w:sz w:val="18"/>
          <w:szCs w:val="18"/>
        </w:rPr>
        <w:t xml:space="preserve">Art. 1.236. </w:t>
      </w:r>
      <w:r w:rsidRPr="001A61A5">
        <w:rPr>
          <w:rFonts w:ascii="Arial" w:hAnsi="Arial" w:cs="Arial"/>
          <w:b/>
          <w:bCs/>
          <w:sz w:val="18"/>
          <w:szCs w:val="18"/>
        </w:rPr>
        <w:t>Na ausência de descendentes</w:t>
      </w:r>
      <w:r w:rsidRPr="001A61A5">
        <w:rPr>
          <w:rFonts w:ascii="Arial" w:hAnsi="Arial" w:cs="Arial"/>
          <w:sz w:val="18"/>
          <w:szCs w:val="18"/>
        </w:rPr>
        <w:t xml:space="preserve"> do autor da herança, dever-se-á declarar, sob pena de responsabilidade civil e criminal, a </w:t>
      </w:r>
      <w:r w:rsidRPr="001A61A5">
        <w:rPr>
          <w:rFonts w:ascii="Arial" w:hAnsi="Arial" w:cs="Arial"/>
          <w:b/>
          <w:bCs/>
          <w:sz w:val="18"/>
          <w:szCs w:val="18"/>
        </w:rPr>
        <w:t>inexistência de ascendentes</w:t>
      </w:r>
      <w:r w:rsidRPr="001A61A5">
        <w:rPr>
          <w:rFonts w:ascii="Arial" w:hAnsi="Arial" w:cs="Arial"/>
          <w:sz w:val="18"/>
          <w:szCs w:val="18"/>
        </w:rPr>
        <w:t xml:space="preserve">, comprovando-se por certidão ao menos o falecimento dos de primeiro grau, para que sejam chamados à sucessão herdeiros das classes seguintes. </w:t>
      </w:r>
    </w:p>
    <w:p w14:paraId="493366A7" w14:textId="77777777" w:rsidR="00B85508" w:rsidRPr="001A61A5" w:rsidRDefault="00B85508" w:rsidP="00B85508">
      <w:pPr>
        <w:pStyle w:val="Default"/>
        <w:jc w:val="both"/>
        <w:rPr>
          <w:rFonts w:ascii="Arial" w:hAnsi="Arial" w:cs="Arial"/>
          <w:sz w:val="18"/>
          <w:szCs w:val="18"/>
        </w:rPr>
      </w:pPr>
      <w:r w:rsidRPr="001A61A5">
        <w:rPr>
          <w:rFonts w:ascii="Arial" w:hAnsi="Arial" w:cs="Arial"/>
          <w:sz w:val="18"/>
          <w:szCs w:val="18"/>
        </w:rPr>
        <w:t xml:space="preserve">Art. 1.237. </w:t>
      </w:r>
      <w:r w:rsidRPr="001A61A5">
        <w:rPr>
          <w:rFonts w:ascii="Arial" w:hAnsi="Arial" w:cs="Arial"/>
          <w:b/>
          <w:bCs/>
          <w:sz w:val="18"/>
          <w:szCs w:val="18"/>
        </w:rPr>
        <w:t>O companheiro será único herdeiro e adjudicatário</w:t>
      </w:r>
      <w:r w:rsidRPr="001A61A5">
        <w:rPr>
          <w:rFonts w:ascii="Arial" w:hAnsi="Arial" w:cs="Arial"/>
          <w:sz w:val="18"/>
          <w:szCs w:val="18"/>
        </w:rPr>
        <w:t xml:space="preserve">: </w:t>
      </w:r>
    </w:p>
    <w:p w14:paraId="53F5E703" w14:textId="77777777" w:rsidR="00B85508" w:rsidRPr="001A61A5" w:rsidRDefault="00B85508" w:rsidP="00B85508">
      <w:pPr>
        <w:pStyle w:val="Default"/>
        <w:jc w:val="both"/>
        <w:rPr>
          <w:rFonts w:ascii="Arial" w:hAnsi="Arial" w:cs="Arial"/>
          <w:sz w:val="18"/>
          <w:szCs w:val="18"/>
        </w:rPr>
      </w:pPr>
      <w:r w:rsidRPr="001A61A5">
        <w:rPr>
          <w:rFonts w:ascii="Arial" w:hAnsi="Arial" w:cs="Arial"/>
          <w:sz w:val="18"/>
          <w:szCs w:val="18"/>
        </w:rPr>
        <w:t xml:space="preserve">I – com reconhecimento expresso da existência da união estável pelos descendentes ou ascendentes que renunciarem na própria escritura de inventário ou na escritura de renúncia de herança; </w:t>
      </w:r>
    </w:p>
    <w:p w14:paraId="1BAC4FD5" w14:textId="77777777" w:rsidR="00B85508" w:rsidRPr="001A61A5" w:rsidRDefault="00B85508" w:rsidP="00B85508">
      <w:pPr>
        <w:pStyle w:val="Default"/>
        <w:jc w:val="both"/>
        <w:rPr>
          <w:rFonts w:ascii="Arial" w:hAnsi="Arial" w:cs="Arial"/>
          <w:sz w:val="18"/>
          <w:szCs w:val="18"/>
        </w:rPr>
      </w:pPr>
      <w:r w:rsidRPr="001A61A5">
        <w:rPr>
          <w:rFonts w:ascii="Arial" w:hAnsi="Arial" w:cs="Arial"/>
          <w:sz w:val="18"/>
          <w:szCs w:val="18"/>
        </w:rPr>
        <w:t xml:space="preserve">II – na ausência de descendentes e ascendentes, com o reconhecimento judicial ou administrativa pela autarquia previdenciária da união estável, ainda que </w:t>
      </w:r>
      <w:r w:rsidRPr="001A61A5">
        <w:rPr>
          <w:rFonts w:ascii="Arial" w:hAnsi="Arial" w:cs="Arial"/>
          <w:i/>
          <w:iCs/>
          <w:sz w:val="18"/>
          <w:szCs w:val="18"/>
        </w:rPr>
        <w:t>post mortem</w:t>
      </w:r>
      <w:r w:rsidRPr="001A61A5">
        <w:rPr>
          <w:rFonts w:ascii="Arial" w:hAnsi="Arial" w:cs="Arial"/>
          <w:sz w:val="18"/>
          <w:szCs w:val="18"/>
        </w:rPr>
        <w:t xml:space="preserve">, com o registro da união estável no Livro E do Registro Civil das Pessoas Naturais; </w:t>
      </w:r>
    </w:p>
    <w:p w14:paraId="3C7F6DE1" w14:textId="77777777" w:rsidR="00B85508" w:rsidRPr="001A61A5" w:rsidRDefault="00B85508" w:rsidP="00B85508">
      <w:pPr>
        <w:pStyle w:val="Default"/>
        <w:jc w:val="both"/>
        <w:rPr>
          <w:rFonts w:ascii="Arial" w:hAnsi="Arial" w:cs="Arial"/>
          <w:sz w:val="18"/>
          <w:szCs w:val="18"/>
        </w:rPr>
      </w:pPr>
      <w:r w:rsidRPr="001A61A5">
        <w:rPr>
          <w:rFonts w:ascii="Arial" w:hAnsi="Arial" w:cs="Arial"/>
          <w:sz w:val="18"/>
          <w:szCs w:val="18"/>
        </w:rPr>
        <w:t xml:space="preserve">III – com reconhecimento expresso de todos os sucessores colaterais que seriam chamados à sucessão; ou </w:t>
      </w:r>
    </w:p>
    <w:p w14:paraId="7FA71FDC" w14:textId="77777777" w:rsidR="00B85508" w:rsidRPr="001A61A5" w:rsidRDefault="00B85508" w:rsidP="00B85508">
      <w:pPr>
        <w:pStyle w:val="Default"/>
        <w:jc w:val="both"/>
        <w:rPr>
          <w:rFonts w:ascii="Arial" w:hAnsi="Arial" w:cs="Arial"/>
          <w:color w:val="auto"/>
          <w:sz w:val="18"/>
          <w:szCs w:val="18"/>
        </w:rPr>
      </w:pPr>
      <w:r w:rsidRPr="001A61A5">
        <w:rPr>
          <w:rFonts w:ascii="Arial" w:hAnsi="Arial" w:cs="Arial"/>
          <w:sz w:val="18"/>
          <w:szCs w:val="18"/>
        </w:rPr>
        <w:t xml:space="preserve">IV – com a apresentação da escritura pública bilateral declaratória da união estável, ou mediante termo declaratório formalizado perante o oficial de registro ou contrato particular com reconhecimento de firmas realizado contemporaneamente à data do </w:t>
      </w:r>
      <w:r w:rsidRPr="001A61A5">
        <w:rPr>
          <w:rFonts w:ascii="Arial" w:hAnsi="Arial" w:cs="Arial"/>
          <w:color w:val="auto"/>
          <w:sz w:val="18"/>
          <w:szCs w:val="18"/>
        </w:rPr>
        <w:t xml:space="preserve">instrumento, registrado ou não no Ofício de Títulos e Documentos, na hipótese de difícil obtenção do reconhecimento previsto no inciso anterior. </w:t>
      </w:r>
    </w:p>
    <w:p w14:paraId="497E33EE" w14:textId="77777777" w:rsidR="00B85508" w:rsidRPr="001A61A5" w:rsidRDefault="00B85508" w:rsidP="00B85508">
      <w:pPr>
        <w:jc w:val="both"/>
        <w:rPr>
          <w:rFonts w:ascii="Arial" w:hAnsi="Arial" w:cs="Arial"/>
          <w:b/>
          <w:sz w:val="18"/>
          <w:szCs w:val="18"/>
          <w:u w:val="single"/>
        </w:rPr>
      </w:pPr>
      <w:r w:rsidRPr="001A61A5">
        <w:rPr>
          <w:rFonts w:ascii="Arial" w:hAnsi="Arial" w:cs="Arial"/>
          <w:sz w:val="18"/>
          <w:szCs w:val="18"/>
        </w:rPr>
        <w:t xml:space="preserve">Parágrafo único. Se houver suspeita da veracidade da declaração com relação à união estável, a critério do tabelião, poderá ser exigido o reconhecimento judicial </w:t>
      </w:r>
      <w:r w:rsidRPr="001A61A5">
        <w:rPr>
          <w:rFonts w:ascii="Arial" w:hAnsi="Arial" w:cs="Arial"/>
          <w:i/>
          <w:iCs/>
          <w:sz w:val="18"/>
          <w:szCs w:val="18"/>
        </w:rPr>
        <w:t xml:space="preserve">post mortem </w:t>
      </w:r>
      <w:r w:rsidRPr="001A61A5">
        <w:rPr>
          <w:rFonts w:ascii="Arial" w:hAnsi="Arial" w:cs="Arial"/>
          <w:sz w:val="18"/>
          <w:szCs w:val="18"/>
        </w:rPr>
        <w:t>na situação do inciso IV.</w:t>
      </w:r>
    </w:p>
    <w:sectPr w:rsidR="00B85508" w:rsidRPr="001A61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C74AF"/>
    <w:multiLevelType w:val="hybridMultilevel"/>
    <w:tmpl w:val="5A027E2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35146E61"/>
    <w:multiLevelType w:val="hybridMultilevel"/>
    <w:tmpl w:val="58C4D22E"/>
    <w:lvl w:ilvl="0" w:tplc="FF46C320">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70117A2F"/>
    <w:multiLevelType w:val="hybridMultilevel"/>
    <w:tmpl w:val="743A4B6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446866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05836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6523887">
    <w:abstractNumId w:val="0"/>
  </w:num>
  <w:num w:numId="4" w16cid:durableId="296837789">
    <w:abstractNumId w:val="2"/>
  </w:num>
  <w:num w:numId="5" w16cid:durableId="1637443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8E2"/>
    <w:rsid w:val="00115D58"/>
    <w:rsid w:val="001478B4"/>
    <w:rsid w:val="00160EA5"/>
    <w:rsid w:val="00166A1F"/>
    <w:rsid w:val="001948E2"/>
    <w:rsid w:val="001E1E59"/>
    <w:rsid w:val="0021030F"/>
    <w:rsid w:val="00304785"/>
    <w:rsid w:val="00397450"/>
    <w:rsid w:val="003C204B"/>
    <w:rsid w:val="003C21D7"/>
    <w:rsid w:val="003E31C9"/>
    <w:rsid w:val="00431A46"/>
    <w:rsid w:val="00475E95"/>
    <w:rsid w:val="004B319C"/>
    <w:rsid w:val="004C039D"/>
    <w:rsid w:val="004D118F"/>
    <w:rsid w:val="0063482F"/>
    <w:rsid w:val="00642F6F"/>
    <w:rsid w:val="006726A5"/>
    <w:rsid w:val="007523A1"/>
    <w:rsid w:val="00786521"/>
    <w:rsid w:val="00805FDB"/>
    <w:rsid w:val="008106B8"/>
    <w:rsid w:val="00814DC8"/>
    <w:rsid w:val="00835F39"/>
    <w:rsid w:val="00837D3C"/>
    <w:rsid w:val="0086526A"/>
    <w:rsid w:val="00990AA8"/>
    <w:rsid w:val="00A42B41"/>
    <w:rsid w:val="00A611C4"/>
    <w:rsid w:val="00A646FF"/>
    <w:rsid w:val="00A84189"/>
    <w:rsid w:val="00AE0052"/>
    <w:rsid w:val="00B36147"/>
    <w:rsid w:val="00B8426D"/>
    <w:rsid w:val="00B85508"/>
    <w:rsid w:val="00BA30BA"/>
    <w:rsid w:val="00C22CA5"/>
    <w:rsid w:val="00C713CD"/>
    <w:rsid w:val="00C91E41"/>
    <w:rsid w:val="00CF5D09"/>
    <w:rsid w:val="00D4102C"/>
    <w:rsid w:val="00D42845"/>
    <w:rsid w:val="00D62C32"/>
    <w:rsid w:val="00D67799"/>
    <w:rsid w:val="00DD48B8"/>
    <w:rsid w:val="00E93647"/>
    <w:rsid w:val="00EA259D"/>
    <w:rsid w:val="00EE51E5"/>
    <w:rsid w:val="00F14FEE"/>
    <w:rsid w:val="00F85B19"/>
    <w:rsid w:val="00FA1F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37DAF"/>
  <w15:docId w15:val="{8AC2B8F1-FB60-4E7E-9816-2ADB94F1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8E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948E2"/>
    <w:pPr>
      <w:ind w:left="720"/>
      <w:contextualSpacing/>
    </w:pPr>
  </w:style>
  <w:style w:type="paragraph" w:styleId="Corpodetexto">
    <w:name w:val="Body Text"/>
    <w:basedOn w:val="Normal"/>
    <w:link w:val="CorpodetextoChar"/>
    <w:unhideWhenUsed/>
    <w:rsid w:val="007523A1"/>
    <w:pPr>
      <w:spacing w:after="0" w:line="240" w:lineRule="auto"/>
    </w:pPr>
    <w:rPr>
      <w:rFonts w:ascii="Tahoma" w:eastAsia="Times New Roman" w:hAnsi="Tahoma" w:cs="Tahoma"/>
      <w:b/>
      <w:bCs/>
      <w:sz w:val="24"/>
      <w:szCs w:val="24"/>
      <w:lang w:eastAsia="pt-BR"/>
    </w:rPr>
  </w:style>
  <w:style w:type="character" w:customStyle="1" w:styleId="CorpodetextoChar">
    <w:name w:val="Corpo de texto Char"/>
    <w:basedOn w:val="Fontepargpadro"/>
    <w:link w:val="Corpodetexto"/>
    <w:rsid w:val="007523A1"/>
    <w:rPr>
      <w:rFonts w:ascii="Tahoma" w:eastAsia="Times New Roman" w:hAnsi="Tahoma" w:cs="Tahoma"/>
      <w:b/>
      <w:bCs/>
      <w:sz w:val="24"/>
      <w:szCs w:val="24"/>
      <w:lang w:eastAsia="pt-BR"/>
    </w:rPr>
  </w:style>
  <w:style w:type="character" w:styleId="Hyperlink">
    <w:name w:val="Hyperlink"/>
    <w:basedOn w:val="Fontepargpadro"/>
    <w:uiPriority w:val="99"/>
    <w:unhideWhenUsed/>
    <w:rsid w:val="00D4102C"/>
    <w:rPr>
      <w:color w:val="0000FF" w:themeColor="hyperlink"/>
      <w:u w:val="single"/>
    </w:rPr>
  </w:style>
  <w:style w:type="character" w:styleId="MenoPendente">
    <w:name w:val="Unresolved Mention"/>
    <w:basedOn w:val="Fontepargpadro"/>
    <w:uiPriority w:val="99"/>
    <w:semiHidden/>
    <w:unhideWhenUsed/>
    <w:rsid w:val="00D4102C"/>
    <w:rPr>
      <w:color w:val="605E5C"/>
      <w:shd w:val="clear" w:color="auto" w:fill="E1DFDD"/>
    </w:rPr>
  </w:style>
  <w:style w:type="paragraph" w:styleId="Pr-formataoHTML">
    <w:name w:val="HTML Preformatted"/>
    <w:basedOn w:val="Normal"/>
    <w:link w:val="Pr-formataoHTMLChar"/>
    <w:uiPriority w:val="99"/>
    <w:semiHidden/>
    <w:unhideWhenUsed/>
    <w:rsid w:val="00B36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B36147"/>
    <w:rPr>
      <w:rFonts w:ascii="Courier New" w:eastAsia="Times New Roman" w:hAnsi="Courier New" w:cs="Courier New"/>
      <w:sz w:val="20"/>
      <w:szCs w:val="20"/>
      <w:lang w:eastAsia="pt-BR"/>
    </w:rPr>
  </w:style>
  <w:style w:type="paragraph" w:customStyle="1" w:styleId="Default">
    <w:name w:val="Default"/>
    <w:rsid w:val="00B8550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9383">
      <w:bodyDiv w:val="1"/>
      <w:marLeft w:val="0"/>
      <w:marRight w:val="0"/>
      <w:marTop w:val="0"/>
      <w:marBottom w:val="0"/>
      <w:divBdr>
        <w:top w:val="none" w:sz="0" w:space="0" w:color="auto"/>
        <w:left w:val="none" w:sz="0" w:space="0" w:color="auto"/>
        <w:bottom w:val="none" w:sz="0" w:space="0" w:color="auto"/>
        <w:right w:val="none" w:sz="0" w:space="0" w:color="auto"/>
      </w:divBdr>
    </w:div>
    <w:div w:id="204028620">
      <w:bodyDiv w:val="1"/>
      <w:marLeft w:val="0"/>
      <w:marRight w:val="0"/>
      <w:marTop w:val="0"/>
      <w:marBottom w:val="0"/>
      <w:divBdr>
        <w:top w:val="none" w:sz="0" w:space="0" w:color="auto"/>
        <w:left w:val="none" w:sz="0" w:space="0" w:color="auto"/>
        <w:bottom w:val="none" w:sz="0" w:space="0" w:color="auto"/>
        <w:right w:val="none" w:sz="0" w:space="0" w:color="auto"/>
      </w:divBdr>
    </w:div>
    <w:div w:id="393089568">
      <w:bodyDiv w:val="1"/>
      <w:marLeft w:val="0"/>
      <w:marRight w:val="0"/>
      <w:marTop w:val="0"/>
      <w:marBottom w:val="0"/>
      <w:divBdr>
        <w:top w:val="none" w:sz="0" w:space="0" w:color="auto"/>
        <w:left w:val="none" w:sz="0" w:space="0" w:color="auto"/>
        <w:bottom w:val="none" w:sz="0" w:space="0" w:color="auto"/>
        <w:right w:val="none" w:sz="0" w:space="0" w:color="auto"/>
      </w:divBdr>
    </w:div>
    <w:div w:id="417407580">
      <w:bodyDiv w:val="1"/>
      <w:marLeft w:val="0"/>
      <w:marRight w:val="0"/>
      <w:marTop w:val="0"/>
      <w:marBottom w:val="0"/>
      <w:divBdr>
        <w:top w:val="none" w:sz="0" w:space="0" w:color="auto"/>
        <w:left w:val="none" w:sz="0" w:space="0" w:color="auto"/>
        <w:bottom w:val="none" w:sz="0" w:space="0" w:color="auto"/>
        <w:right w:val="none" w:sz="0" w:space="0" w:color="auto"/>
      </w:divBdr>
    </w:div>
    <w:div w:id="565576314">
      <w:bodyDiv w:val="1"/>
      <w:marLeft w:val="0"/>
      <w:marRight w:val="0"/>
      <w:marTop w:val="0"/>
      <w:marBottom w:val="0"/>
      <w:divBdr>
        <w:top w:val="none" w:sz="0" w:space="0" w:color="auto"/>
        <w:left w:val="none" w:sz="0" w:space="0" w:color="auto"/>
        <w:bottom w:val="none" w:sz="0" w:space="0" w:color="auto"/>
        <w:right w:val="none" w:sz="0" w:space="0" w:color="auto"/>
      </w:divBdr>
    </w:div>
    <w:div w:id="566915326">
      <w:bodyDiv w:val="1"/>
      <w:marLeft w:val="0"/>
      <w:marRight w:val="0"/>
      <w:marTop w:val="0"/>
      <w:marBottom w:val="0"/>
      <w:divBdr>
        <w:top w:val="none" w:sz="0" w:space="0" w:color="auto"/>
        <w:left w:val="none" w:sz="0" w:space="0" w:color="auto"/>
        <w:bottom w:val="none" w:sz="0" w:space="0" w:color="auto"/>
        <w:right w:val="none" w:sz="0" w:space="0" w:color="auto"/>
      </w:divBdr>
    </w:div>
    <w:div w:id="809518801">
      <w:bodyDiv w:val="1"/>
      <w:marLeft w:val="0"/>
      <w:marRight w:val="0"/>
      <w:marTop w:val="0"/>
      <w:marBottom w:val="0"/>
      <w:divBdr>
        <w:top w:val="none" w:sz="0" w:space="0" w:color="auto"/>
        <w:left w:val="none" w:sz="0" w:space="0" w:color="auto"/>
        <w:bottom w:val="none" w:sz="0" w:space="0" w:color="auto"/>
        <w:right w:val="none" w:sz="0" w:space="0" w:color="auto"/>
      </w:divBdr>
    </w:div>
    <w:div w:id="871499663">
      <w:bodyDiv w:val="1"/>
      <w:marLeft w:val="0"/>
      <w:marRight w:val="0"/>
      <w:marTop w:val="0"/>
      <w:marBottom w:val="0"/>
      <w:divBdr>
        <w:top w:val="none" w:sz="0" w:space="0" w:color="auto"/>
        <w:left w:val="none" w:sz="0" w:space="0" w:color="auto"/>
        <w:bottom w:val="none" w:sz="0" w:space="0" w:color="auto"/>
        <w:right w:val="none" w:sz="0" w:space="0" w:color="auto"/>
      </w:divBdr>
    </w:div>
    <w:div w:id="1008361324">
      <w:bodyDiv w:val="1"/>
      <w:marLeft w:val="0"/>
      <w:marRight w:val="0"/>
      <w:marTop w:val="0"/>
      <w:marBottom w:val="0"/>
      <w:divBdr>
        <w:top w:val="none" w:sz="0" w:space="0" w:color="auto"/>
        <w:left w:val="none" w:sz="0" w:space="0" w:color="auto"/>
        <w:bottom w:val="none" w:sz="0" w:space="0" w:color="auto"/>
        <w:right w:val="none" w:sz="0" w:space="0" w:color="auto"/>
      </w:divBdr>
    </w:div>
    <w:div w:id="1131556925">
      <w:bodyDiv w:val="1"/>
      <w:marLeft w:val="0"/>
      <w:marRight w:val="0"/>
      <w:marTop w:val="0"/>
      <w:marBottom w:val="0"/>
      <w:divBdr>
        <w:top w:val="none" w:sz="0" w:space="0" w:color="auto"/>
        <w:left w:val="none" w:sz="0" w:space="0" w:color="auto"/>
        <w:bottom w:val="none" w:sz="0" w:space="0" w:color="auto"/>
        <w:right w:val="none" w:sz="0" w:space="0" w:color="auto"/>
      </w:divBdr>
    </w:div>
    <w:div w:id="1137842318">
      <w:bodyDiv w:val="1"/>
      <w:marLeft w:val="0"/>
      <w:marRight w:val="0"/>
      <w:marTop w:val="0"/>
      <w:marBottom w:val="0"/>
      <w:divBdr>
        <w:top w:val="none" w:sz="0" w:space="0" w:color="auto"/>
        <w:left w:val="none" w:sz="0" w:space="0" w:color="auto"/>
        <w:bottom w:val="none" w:sz="0" w:space="0" w:color="auto"/>
        <w:right w:val="none" w:sz="0" w:space="0" w:color="auto"/>
      </w:divBdr>
    </w:div>
    <w:div w:id="1152480607">
      <w:bodyDiv w:val="1"/>
      <w:marLeft w:val="0"/>
      <w:marRight w:val="0"/>
      <w:marTop w:val="0"/>
      <w:marBottom w:val="0"/>
      <w:divBdr>
        <w:top w:val="none" w:sz="0" w:space="0" w:color="auto"/>
        <w:left w:val="none" w:sz="0" w:space="0" w:color="auto"/>
        <w:bottom w:val="none" w:sz="0" w:space="0" w:color="auto"/>
        <w:right w:val="none" w:sz="0" w:space="0" w:color="auto"/>
      </w:divBdr>
    </w:div>
    <w:div w:id="1373923797">
      <w:bodyDiv w:val="1"/>
      <w:marLeft w:val="0"/>
      <w:marRight w:val="0"/>
      <w:marTop w:val="0"/>
      <w:marBottom w:val="0"/>
      <w:divBdr>
        <w:top w:val="none" w:sz="0" w:space="0" w:color="auto"/>
        <w:left w:val="none" w:sz="0" w:space="0" w:color="auto"/>
        <w:bottom w:val="none" w:sz="0" w:space="0" w:color="auto"/>
        <w:right w:val="none" w:sz="0" w:space="0" w:color="auto"/>
      </w:divBdr>
    </w:div>
    <w:div w:id="1387677956">
      <w:bodyDiv w:val="1"/>
      <w:marLeft w:val="0"/>
      <w:marRight w:val="0"/>
      <w:marTop w:val="0"/>
      <w:marBottom w:val="0"/>
      <w:divBdr>
        <w:top w:val="none" w:sz="0" w:space="0" w:color="auto"/>
        <w:left w:val="none" w:sz="0" w:space="0" w:color="auto"/>
        <w:bottom w:val="none" w:sz="0" w:space="0" w:color="auto"/>
        <w:right w:val="none" w:sz="0" w:space="0" w:color="auto"/>
      </w:divBdr>
    </w:div>
    <w:div w:id="1464225934">
      <w:bodyDiv w:val="1"/>
      <w:marLeft w:val="0"/>
      <w:marRight w:val="0"/>
      <w:marTop w:val="0"/>
      <w:marBottom w:val="0"/>
      <w:divBdr>
        <w:top w:val="none" w:sz="0" w:space="0" w:color="auto"/>
        <w:left w:val="none" w:sz="0" w:space="0" w:color="auto"/>
        <w:bottom w:val="none" w:sz="0" w:space="0" w:color="auto"/>
        <w:right w:val="none" w:sz="0" w:space="0" w:color="auto"/>
      </w:divBdr>
    </w:div>
    <w:div w:id="1661349493">
      <w:bodyDiv w:val="1"/>
      <w:marLeft w:val="0"/>
      <w:marRight w:val="0"/>
      <w:marTop w:val="0"/>
      <w:marBottom w:val="0"/>
      <w:divBdr>
        <w:top w:val="none" w:sz="0" w:space="0" w:color="auto"/>
        <w:left w:val="none" w:sz="0" w:space="0" w:color="auto"/>
        <w:bottom w:val="none" w:sz="0" w:space="0" w:color="auto"/>
        <w:right w:val="none" w:sz="0" w:space="0" w:color="auto"/>
      </w:divBdr>
    </w:div>
    <w:div w:id="1750038438">
      <w:bodyDiv w:val="1"/>
      <w:marLeft w:val="0"/>
      <w:marRight w:val="0"/>
      <w:marTop w:val="0"/>
      <w:marBottom w:val="0"/>
      <w:divBdr>
        <w:top w:val="none" w:sz="0" w:space="0" w:color="auto"/>
        <w:left w:val="none" w:sz="0" w:space="0" w:color="auto"/>
        <w:bottom w:val="none" w:sz="0" w:space="0" w:color="auto"/>
        <w:right w:val="none" w:sz="0" w:space="0" w:color="auto"/>
      </w:divBdr>
    </w:div>
    <w:div w:id="1825388043">
      <w:bodyDiv w:val="1"/>
      <w:marLeft w:val="0"/>
      <w:marRight w:val="0"/>
      <w:marTop w:val="0"/>
      <w:marBottom w:val="0"/>
      <w:divBdr>
        <w:top w:val="none" w:sz="0" w:space="0" w:color="auto"/>
        <w:left w:val="none" w:sz="0" w:space="0" w:color="auto"/>
        <w:bottom w:val="none" w:sz="0" w:space="0" w:color="auto"/>
        <w:right w:val="none" w:sz="0" w:space="0" w:color="auto"/>
      </w:divBdr>
    </w:div>
    <w:div w:id="1881043010">
      <w:bodyDiv w:val="1"/>
      <w:marLeft w:val="0"/>
      <w:marRight w:val="0"/>
      <w:marTop w:val="0"/>
      <w:marBottom w:val="0"/>
      <w:divBdr>
        <w:top w:val="none" w:sz="0" w:space="0" w:color="auto"/>
        <w:left w:val="none" w:sz="0" w:space="0" w:color="auto"/>
        <w:bottom w:val="none" w:sz="0" w:space="0" w:color="auto"/>
        <w:right w:val="none" w:sz="0" w:space="0" w:color="auto"/>
      </w:divBdr>
    </w:div>
    <w:div w:id="203325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ocivil.org.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gistrocivil.org.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gistrocivil.org.br/" TargetMode="External"/><Relationship Id="rId11" Type="http://schemas.openxmlformats.org/officeDocument/2006/relationships/hyperlink" Target="https://www.detran.sc.gov.br/consulta-veiculos/" TargetMode="External"/><Relationship Id="rId5" Type="http://schemas.openxmlformats.org/officeDocument/2006/relationships/hyperlink" Target="mailto:inventario@cartoriooltramari.com.br" TargetMode="External"/><Relationship Id="rId10" Type="http://schemas.openxmlformats.org/officeDocument/2006/relationships/hyperlink" Target="http://www.censec.org.br" TargetMode="External"/><Relationship Id="rId4" Type="http://schemas.openxmlformats.org/officeDocument/2006/relationships/webSettings" Target="webSettings.xml"/><Relationship Id="rId9" Type="http://schemas.openxmlformats.org/officeDocument/2006/relationships/hyperlink" Target="https://www.registrocivil.org.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995</Words>
  <Characters>5375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Ynara</dc:creator>
  <cp:lastModifiedBy>Inventario cartorio</cp:lastModifiedBy>
  <cp:revision>13</cp:revision>
  <cp:lastPrinted>2022-09-01T17:32:00Z</cp:lastPrinted>
  <dcterms:created xsi:type="dcterms:W3CDTF">2023-11-13T14:36:00Z</dcterms:created>
  <dcterms:modified xsi:type="dcterms:W3CDTF">2025-02-11T13:33:00Z</dcterms:modified>
</cp:coreProperties>
</file>